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2"/>
        <w:gridCol w:w="4583"/>
      </w:tblGrid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№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"Приложение 4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18.12.2023 № 85-МПА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Распределение бюджетных ассигнований из бюджета Владивостокско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го городского округа </w:t>
            </w:r>
            <w:r>
              <w:rPr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на 2024 год и плановый период 2025 и 2026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sz w:val="24"/>
                <w:szCs w:val="24"/>
              </w:rPr>
            </w:r>
          </w:p>
        </w:tc>
      </w:tr>
    </w:tbl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1174"/>
        <w:gridCol w:w="1389"/>
        <w:gridCol w:w="827"/>
        <w:gridCol w:w="2267"/>
        <w:gridCol w:w="2252"/>
        <w:gridCol w:w="2279"/>
      </w:tblGrid>
      <w:tr>
        <w:tblPrEx/>
        <w:trPr>
          <w:jc w:val="left"/>
          <w:trHeight w:val="22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подраздела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77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2024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1174"/>
        <w:gridCol w:w="1389"/>
        <w:gridCol w:w="827"/>
        <w:gridCol w:w="2267"/>
        <w:gridCol w:w="2252"/>
        <w:gridCol w:w="2279"/>
      </w:tblGrid>
      <w:tr>
        <w:tblPrEx/>
        <w:trPr>
          <w:jc w:val="left"/>
          <w:trHeight w:val="271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25 619 427 522,60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23 767 890 775,92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759 343 385,66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1 972 184 997,76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24 860 084 136,94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21 795 705 778,16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3 857 494 008,62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2 644 124 461,64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2 724 531 866,66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157 286 941,15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157 286 941,15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95 913 774,46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83 854 647,29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83 798 863,58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81 879 636,79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73 607 276,29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76 548 322,58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13 935 222,67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10 208 527,00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7 212 529,00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98 915,00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2 512 115,00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2 512 115,00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1 745 827 596,29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1 745 827 596,29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1 126 345 610,86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1 098 440 513,77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972 480 117,20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1 011 368 136,02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27 845 633,81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16 409 717,17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16 391 717,12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59 463,28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54 076,26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57 392,39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74 269 423,00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53 847 623,00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Судебная система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294 826 770,95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283 514 350,22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283 769 256,67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175 897 062,47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165 738 333,00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172 348 679,00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55 768 340,95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60 245 151,00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52 881 175,66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63 099 860,53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57 475 866,22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58 484 402,01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23 806 070,49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27 071 471,41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23 730 430,38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27 004 082,83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75 640,11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67 388,58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1 199 109,00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379 948,00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1 136 109,00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316 948,00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Резервные фонды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154 657 033,20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154 657 033,20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1 481 066 333,79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1 204 539 674,36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1 239 192 025,21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3 420 104,00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3 426 630,00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3 426 630,00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457 011 593,51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450 018 569,40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453 340 313,30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457 011 593,51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450 018 569,40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453 340 313,30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420 610 642,82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413 929 842,77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448 816 762,70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397 274 095,55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384 427 608,80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429 985 295,16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17 670 822,26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18 562 729,67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7 593 628,89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5 655 213,79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10 939 504,30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11 237 838,65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33 909 238,19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30 787 726,63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3 983 550,60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19 143 767,51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17 790 654,42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3 873 465,91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14 765 470,68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110 084,69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225 220 562,31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220 707 884,39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234 270 753,59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225 220 562,31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220 707 884,39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234 270 753,59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225 220 562,31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220 707 884,39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234 270 753,59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220 832 477,82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215 996 934,28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229 562 920,48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3 729 590,57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4 081 360,87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4 079 460,87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1 510,92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656 983,00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629 589,24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628 372,24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791 626 968,37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525 734 830,57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543 502 568,32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17 245 196,28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35 820,00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143 957 275,42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11 664 398,61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13 264 414,69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46 451 592,48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473 850,00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97 031 832,94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8 172 519,81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9 772 535,89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30 860 938,00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33 239 785,00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34 333 660,00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29 359 938,00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32 427 785,00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33 521 660,00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483 070 744,13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348 073 758,94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298 798 761,52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295 636 068,16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307 467 617,68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177 591 296,06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45 960 358,78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44 912 419,47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202 234,55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6 478 452,00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6 477 332,00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6 476 211,00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30 473 147,00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30 893 608,00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32 129 352,00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30 473 147,00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29 983 700,84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31 183 379,56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909 907,16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945 972,44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6 040 167,00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5 958 328,70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81 669,40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48 866 582,00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49 135 586,00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50 997 233,00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46 541 547,00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46 541 186,00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48 402 833,00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2 291 035,00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2 594 400,00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2 594 400,00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15 033 329,38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21 249 135,62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21 228 073,91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14 927 973,35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21 149 135,62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21 128 073,91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232 183 636,14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195 677 693,03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195 319 089,36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49 828 927,14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39 292 707,00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40 858 260,00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3 534 690,74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2 034 578,00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2 064 536,47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3 988,65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1 295 120,00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520 365,00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515 633,00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177 520 909,61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153 830 043,03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151 880 659,89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177 520 909,61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153 830 043,03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151 880 659,89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36 346 736,66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33 233 441,11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34 551 300,77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36 107 228,66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32 931 883,11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34 249 742,77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239 508,00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137 320 752,12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120 596 601,92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117 329 359,12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115 592 075,83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106 796 315,00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111 101 853,00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18 811 926,29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13 550 144,92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5 977 877,12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2 916 750,00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250 142,00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249 629,00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6 728 724 573,27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2 682 595 074,76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1 595 598 304,75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1 778 030 913,21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638 145 292,14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597 115 996,43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1 778 016 180,78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638 130 105,75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597 100 337,55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1 778 016 180,78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638 130 105,75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597 100 337,55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34 184 897,76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30 231 312,26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31 371 342,20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33 757 580,48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29 795 669,81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30 981 739,72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357 317,28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435 642,45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389 602,48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175 970 665,33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14 942 606,00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161 028 059,33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635 054 428,77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622 991 507,77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12 062 921,00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866 924 285,77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812 249 448,77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54 674 837,00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 и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14 732,43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15 186,39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15 658,88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4 352 060 043,49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1 122 154 905,69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713 849 134,35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4 291 672 486,11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1 122 154 905,69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713 849 134,35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"Дорожная сеть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172 523 276,93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255 160 041,64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151 234 487,44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3 412 754 680,10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251 729 955,59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246 879 437,38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139 445 439,00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66 943 670,85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73 896 051,42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49 988 411,00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49 478 509,00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51 458 425,00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81 514 977,72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17 461 001,85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22 433 466,42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7 942 050,28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617 936 246,55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541 818 856,14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76 117 390,41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1 440 882 868,28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54 142 300,99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129 539 231,10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1 311 343 637,18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48 442 300,99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"Реализация инфраструктурных проектов за счет средств бюджетных кредитов из федерального бюджета"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332 220 111,38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103 363 223,00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228 856 888,38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Связь и информатика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542 908 337,57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869 426 745,93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231 765 042,97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104 098 722,72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55 281 858,72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96 506 491,37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4 449 319,80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4 112 508,70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3 217 024,17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11 908 070,43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12 113 651,39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12 387 860,37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3 710 198,01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3 105 198,01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2 816 769,03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проведения работ по землеустройству и землепользованию, комплексных кадастровых работ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414 423 402,44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794 811 929,11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114 532 322,20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414 423 402,44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794 811 929,11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114 532 322,20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79 115 929,59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101 339 355,50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106 986 104,25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66 669 679,06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83 434 552,89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86 792 320,13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12 200 791,21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16 781 934,07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20 090 092,12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7 144,32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238 315,00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1 122 868,54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103 692,00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8 640 812,96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3 317 872,82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5 406 717 346,50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2 361 094 557,57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1 152 764 289,10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1 622 363 216,87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"Федеральный проект "Обеспечение устойчивого сокращения непригодного для проживания жилищного фонда"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803 376 428,11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803 376 428,11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391 583 944,75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241 583 944,75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314 000 000,00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635 215 905,12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311 219 108,57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167 082 038,91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5 926 401,24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5 926 401,24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5 926 401,24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574 422 641,49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288 232 292,36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122 548 791,20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461 096 163,32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Основное мероприятие "Мероприятия в области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113 326 478,17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130 572 614,89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122 548 791,20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7 136 395,57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25 918 549,89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21 759 096,80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1 190 824,00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13 387 317,09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9 227 864,00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5 945 571,57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106 190 082,60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13 696 390,03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92 493 692,57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48 122 195,68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21 567 838,18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22 428 176,91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Субсидия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юридическим лицам, индивидуальным предпринимателям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2 567 996 883,94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1 296 083 030,71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461 716 132,09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12 690 398,04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12 690 398,04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12 690 398,04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12 690 398,04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2 482 052 133,89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1 296 083 030,71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461 716 132,09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1 537 976 309,67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1 242 197 294,88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876 720 003,42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489 090 688,70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377 524 845,63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10 104 469,09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дворовых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436 085 905,40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435 881 505,40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53 235 978,95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53 031 578,95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770 072 132,42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36 933 115,83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43 434 791,96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93 604 768,55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93 604 768,55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676 467 363,87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36 933 115,83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43 434 791,96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159 350 832,58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457 116 531,29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73 254 352,01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73 254 352,01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7 880 230,67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581 141 340,57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421 565 360,67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492 497 127,63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581 141 340,57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421 565 360,67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492 497 127,63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"Строительство, реконструкция объектов благоустройства (в том числе проектно-изыскательские работы),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571 697 990,57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421 565 360,67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492 497 127,63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571 697 990,57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421 565 360,67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492 497 127,63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500 748 804,27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397 863 374,66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474 590 201,49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60 797 025,66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23 481 573,73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17 688 072,45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10 152 160,64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220 412,28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218 853,69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14 697 404 993,04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14 280 027 920,42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13 730 844 431,40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5 201 432 704,55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5 354 472 546,38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5 207 495 598,97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5 199 023 613,68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5 354 472 546,38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5 207 495 598,97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5 199 023 613,68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5 354 472 546,38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5 207 495 598,97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субсидий частным дошкольным образовательным организациям, индивидуальным предпринимателям"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810 432,00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1 830 963,50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52 509 214,84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271 927 508,36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151 415 434,88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21 934 741,04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7 615 466 439,60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7 549 480 893,39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7 103 556 254,51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7 603 217 819,03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7 549 480 893,39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7 103 556 254,51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"Патриотическое воспитание граждан РФ"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"Модернизация школьных систем образования в Приморском крае"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7 402 511 293,72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7 324 398 802,84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7 079 862 936,08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7 111 835 279,00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7 110 815 279,00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289 676 014,72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289 676 014,72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1 091 265 789,24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939 011 070,16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967 137 456,72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646 742 132,52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646 742 132,52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3 474 243,00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2 037 278,10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1 999 572,36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311 860,00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311 860,00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311 860,00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311 860,00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1 754 625,00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766 500,00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587 925,00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587 925,00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216 232 090,54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216 232 090,54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216 232 090,54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1 448 971,01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1 348 934,36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100 036,65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214 783 119,53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11 036 182,52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5 367 418,00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198 379 519,01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447 814 049,47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368 507 126,03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381 703 126,30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391 685 610,57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341 203 309,19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354 170 768,65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54 567 795,79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26 755 950,66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26 984 491,47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4 777,32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1 555 865,79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62 018 781,85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62 018 781,85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499 387 249,56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297 226 851,61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270 271 788,58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440 311 426,77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243 740 853,39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214 774 688,73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440 311 426,77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243 740 853,39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214 774 688,73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440 311 426,77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243 740 853,39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214 774 688,73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10 208 573,76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8 837 190,26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9 125 910,14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8 709 966,00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7 402 262,00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7 696 821,00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1 409 462,76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1 371 907,26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1 374 517,14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88 893 940,05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88 893 940,05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35 341 110,00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35 341 110,00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"Управление общественными пространствами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59 075 822,79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53 485 998,22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55 497 099,85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59 075 822,79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53 485 998,22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55 497 099,85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59 075 822,79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53 485 998,22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55 497 099,85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47 023 435,00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44 907 103,45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46 811 335,08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46 205 617,60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43 368 927,92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45 273 159,55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817 817,40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1 679 740,00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1 679 740,00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8 339 647,79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8 339 647,79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1 058 624 931,28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932 376 813,30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853 798 987,68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1 025 478,00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94 747 700,00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119 140 070,00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100 165 151,00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117 115 000,00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97 935 000,00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117 115 000,00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97 935 000,00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"Современная школа"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117 115 000,00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97 935 000,00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117 115 000,00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97 935 000,00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801 648 704,58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730 801 765,30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747 830 941,68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140 329 453,60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167 686 222,42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140 329 453,60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167 686 222,42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398 383 597,29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436 554 274,45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442 730 323,71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194 184 856,49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205 456 723,71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202 098 740,80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42 062 978,70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15 812 978,70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15 812 978,70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"Поддержка социально ориентированных некоммерческих организаций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9 619 441,20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9 249 441,20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6 193 537,50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5 388 537,50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1 060 973 578,40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1 363 913 385,93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1 268 009 419,84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979 820 380,54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883 936 428,29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979 820 380,54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883 936 428,29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979 820 380,54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883 936 428,29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978 785 806,48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882 900 914,52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49 606 460,78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49 606 460,78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382 152 121,49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382 152 121,49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19 913 946,69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17 541 390,30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18 243 310,22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7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4785</wp:posOffset>
                </wp:positionH>
                <wp:positionV relativeFrom="paragraph">
                  <wp:posOffset>205453</wp:posOffset>
                </wp:positionV>
                <wp:extent cx="9296400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92963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flip:y;visibility:visible;" from="0.4pt,16.2pt" to="732.4pt,16.2pt" filled="f" strokecolor="#233B59" strokeweight="0.75pt">
                <v:stroke dashstyle="solid"/>
              </v:line>
            </w:pict>
          </mc:Fallback>
        </mc:AlternateContent>
      </w:r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PAGE</w:instrText>
    </w:r>
    <w:r>
      <w:rPr>
        <w:rFonts w:ascii="Times New Roman" w:hAnsi="Times New Roman" w:eastAsia="Times New Roman" w:cs="Times New Roman"/>
        <w:sz w:val="24"/>
      </w:rPr>
    </w:r>
    <w:r>
      <w:rPr>
        <w:rFonts w:ascii="Times New Roman" w:hAnsi="Times New Roman" w:eastAsia="Times New Roman" w:cs="Times New Roman"/>
        <w:sz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</w:pPr>
    <w:fldSimple w:instr="PAGE \* MERGEFORMAT">
      <w:r>
        <w:t xml:space="preserve">1</w:t>
      </w:r>
    </w:fldSimple>
    <w:r/>
    <w:r/>
  </w:p>
  <w:p>
    <w:pPr>
      <w:pStyle w:val="71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uiPriority w:val="39"/>
    <w:unhideWhenUsed/>
    <w:pPr>
      <w:ind w:left="0" w:right="0" w:firstLine="0"/>
      <w:spacing w:after="57"/>
    </w:pPr>
  </w:style>
  <w:style w:type="paragraph" w:styleId="850">
    <w:name w:val="toc 2"/>
    <w:uiPriority w:val="39"/>
    <w:unhideWhenUsed/>
    <w:pPr>
      <w:ind w:left="283" w:right="0" w:firstLine="0"/>
      <w:spacing w:after="57"/>
    </w:pPr>
  </w:style>
  <w:style w:type="paragraph" w:styleId="851">
    <w:name w:val="toc 3"/>
    <w:uiPriority w:val="39"/>
    <w:unhideWhenUsed/>
    <w:pPr>
      <w:ind w:left="567" w:right="0" w:firstLine="0"/>
      <w:spacing w:after="57"/>
    </w:pPr>
  </w:style>
  <w:style w:type="paragraph" w:styleId="852">
    <w:name w:val="toc 4"/>
    <w:uiPriority w:val="39"/>
    <w:unhideWhenUsed/>
    <w:pPr>
      <w:ind w:left="850" w:right="0" w:firstLine="0"/>
      <w:spacing w:after="57"/>
    </w:pPr>
  </w:style>
  <w:style w:type="paragraph" w:styleId="853">
    <w:name w:val="toc 5"/>
    <w:uiPriority w:val="39"/>
    <w:unhideWhenUsed/>
    <w:pPr>
      <w:ind w:left="1134" w:right="0" w:firstLine="0"/>
      <w:spacing w:after="57"/>
    </w:pPr>
  </w:style>
  <w:style w:type="paragraph" w:styleId="854">
    <w:name w:val="toc 6"/>
    <w:uiPriority w:val="39"/>
    <w:unhideWhenUsed/>
    <w:pPr>
      <w:ind w:left="1417" w:right="0" w:firstLine="0"/>
      <w:spacing w:after="57"/>
    </w:pPr>
  </w:style>
  <w:style w:type="paragraph" w:styleId="855">
    <w:name w:val="toc 7"/>
    <w:uiPriority w:val="39"/>
    <w:unhideWhenUsed/>
    <w:pPr>
      <w:ind w:left="1701" w:right="0" w:firstLine="0"/>
      <w:spacing w:after="57"/>
    </w:pPr>
  </w:style>
  <w:style w:type="paragraph" w:styleId="856">
    <w:name w:val="toc 8"/>
    <w:uiPriority w:val="39"/>
    <w:unhideWhenUsed/>
    <w:pPr>
      <w:ind w:left="1984" w:right="0" w:firstLine="0"/>
      <w:spacing w:after="57"/>
    </w:pPr>
  </w:style>
  <w:style w:type="paragraph" w:styleId="857">
    <w:name w:val="toc 9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uiPriority w:val="99"/>
    <w:unhideWhenUsed/>
    <w:pPr>
      <w:spacing w:after="0" w:afterAutospacing="0"/>
    </w:pPr>
  </w:style>
  <w:style w:type="character" w:styleId="860" w:default="1">
    <w:name w:val="Default Paragraph Font"/>
    <w:uiPriority w:val="1"/>
    <w:semiHidden/>
    <w:unhideWhenUsed/>
  </w:style>
  <w:style w:type="numbering" w:styleId="861" w:default="1">
    <w:name w:val="No List"/>
    <w:uiPriority w:val="99"/>
    <w:semiHidden/>
    <w:unhideWhenUsed/>
  </w:style>
  <w:style w:type="paragraph" w:styleId="862" w:default="1">
    <w:name w:val="Normal"/>
    <w:qFormat/>
  </w:style>
  <w:style w:type="table" w:styleId="8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2</cp:revision>
  <dcterms:modified xsi:type="dcterms:W3CDTF">2024-11-20T23:32:41Z</dcterms:modified>
</cp:coreProperties>
</file>