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10"/>
        </w:rPr>
        <w:br/>
      </w: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2"/>
        <w:gridCol w:w="4583"/>
      </w:tblGrid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     №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"Приложение 3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18.12.2023 № 85-МПА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Распределение бюджетных ассигнований в ведомственной структуре расходов бюджета Владивостокского городского округа на 2024 год и плановый период 2025 и 2026 годов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  <w:highlight w:val="none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  <w:szCs w:val="2"/>
          <w:highlight w:val="none"/>
        </w:rPr>
      </w:r>
      <w:r>
        <w:rPr>
          <w:rFonts w:ascii="Arial" w:hAnsi="Arial" w:eastAsia="Arial" w:cs="Arial"/>
          <w:sz w:val="2"/>
          <w:szCs w:val="2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1298"/>
        <w:gridCol w:w="992"/>
        <w:gridCol w:w="1276"/>
        <w:gridCol w:w="684"/>
        <w:gridCol w:w="2254"/>
        <w:gridCol w:w="2246"/>
        <w:gridCol w:w="2277"/>
      </w:tblGrid>
      <w:tr>
        <w:tblPrEx/>
        <w:trPr>
          <w:jc w:val="left"/>
          <w:trHeight w:val="40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главного распоряди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теля бюджетных средств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раздела, под-раздела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расхо- 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7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319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4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2024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</w:p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1298"/>
        <w:gridCol w:w="992"/>
        <w:gridCol w:w="1276"/>
        <w:gridCol w:w="685"/>
        <w:gridCol w:w="2254"/>
        <w:gridCol w:w="2246"/>
        <w:gridCol w:w="2277"/>
      </w:tblGrid>
      <w:tr>
        <w:tblPrEx/>
        <w:trPr>
          <w:jc w:val="left"/>
          <w:trHeight w:val="393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33 551 916 627,35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25 619 427 522,60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23 767 890 775,92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759 343 385,66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1 972 184 997,76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23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33 551 916 627,35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24 860 084 136,94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21 795 705 778,16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174 506 718,15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157 386 941,15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157 154 392,21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174 406 718,15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157 286 941,15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157 154 392,21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174 406 718,15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157 286 941,15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157 154 392,21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174 406 718,15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157 286 941,15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157 154 392,21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6 188 591,61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5 791 575,70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8 980 205,10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8 978 728,78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9 149 108,39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55 588 367,98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56 166 057,80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58 414 844,54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95 913 774,46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83 854 647,29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83 798 863,58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81 879 636,79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73 607 276,29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76 548 322,58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13 935 222,67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10 208 527,00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7 212 529,00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98 915,00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2 512 115,00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905 145,00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2 512 115,00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905 145,00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5 223 664,00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1 717 441,00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63 117 860,53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57 475 866,22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58 484 402,01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63 099 860,53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57 475 866,22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58 484 402,01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63 099 860,53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57 475 866,22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58 484 402,01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63 099 860,53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57 475 866,22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58 484 402,01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7 501 337,41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5 680 774,04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6 140 789,24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4 531 936,50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4 592 943,61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24 452 554,39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19 827 589,03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20 245 747,15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23 806 070,49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27 071 471,41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23 730 430,38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27 004 082,83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27 964 937,21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75 640,11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67 388,58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1 199 109,00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379 948,00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1 136 109,00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316 948,00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3 681 281 758,40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2 312 477 221,85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2 211 218 224,68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2 058 873 475,14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1 453 095 436,53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1 506 072 804,49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Глава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6 155 517,24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5 664 921,28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5 891 576,04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1 200 615 033,86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988 943 910,63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1 027 817 245,53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1 200 615 033,86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988 943 910,63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1 027 817 245,53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1 126 345 610,86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988 943 910,63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1 027 817 245,53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1 098 440 513,77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972 480 117,20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1 011 368 136,02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27 845 633,81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16 409 717,17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16 391 717,12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59 463,28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54 076,26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57 392,39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74 269 423,00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53 847 623,00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Резервные фонды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154 657 033,20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154 657 033,20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Предупреждение возн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1 105 582,40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152 551 450,80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697 445 890,84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454 886 604,62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468 763 982,92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1 885 105,60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693 660 785,24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450 236 844,62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464 114 222,92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121 303 067,57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10 319 461,86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10 891 911,66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42 401 841,68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2 991 878,80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2 991 878,80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473 850,00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78 427 375,89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6 827 583,06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7 400 032,86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30 860 938,00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33 239 785,00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34 333 660,00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29 359 938,00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32 427 785,00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33 521 660,00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483 070 744,13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348 073 758,94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298 798 761,52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295 636 068,16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307 467 617,68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177 591 296,06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45 960 358,78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44 912 419,47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202 234,55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6 478 452,00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6 477 332,00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6 476 211,00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21 308 770,00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21 538 382,00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22 399 917,00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21 308 770,00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21 538 382,00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22 399 917,00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6 040 167,00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5 958 328,70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6 097 319,00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6 328 212,00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81 669,40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10 506,30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16 004 290,00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9 679 119,00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10 035 897,00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15 033 329,38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21 249 135,62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21 228 073,91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14 927 973,35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21 149 135,62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21 128 073,91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18 480 403,52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15 223 836,48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15 209 616,48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Связь и информатика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99000S2740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2 857 148,00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15 619 868,44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15 220 449,40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15 206 229,40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11 908 070,43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12 113 651,39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12 387 860,37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3 710 198,01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3 105 198,01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2 816 769,03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1 123 869 674,89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348 158 967,92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192 282 756,67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630 540 580,22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310 125 667,94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145 319 776,71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1 251 076,34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6 744 666,71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325 537,40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342 808,60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574 422 641,49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288 232 292,36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122 548 791,20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461 096 163,32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Основное мероприятие "Мероприятия в области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207 615 000,00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232 332 902,66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157 659 677,47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21 148 260,66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113 326 478,17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130 572 614,89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122 548 791,20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7 136 395,57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25 918 549,89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21 759 096,80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1 190 824,00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13 387 317,09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9 227 864,00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5 945 571,57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106 190 082,60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13 696 390,03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104 654 065,00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100 789 694,40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92 493 692,57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48 122 195,68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21 567 838,18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22 428 176,91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23 047 105,36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20 426 799,97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18 515 968,18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19 256 606,91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3 567 470,00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3 051 870,00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3 171 570,00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Субсидия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юридическим лицам, индивидуальным предпринимателям на возмещение затрат по обеспечению твердым топливом (углем, дровами)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1 080 820,35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493 329 094,67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38 033 299,98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46 962 979,96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4 545 454,55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4 545 454,55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4 545 454,55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4 545 454,55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488 783 640,12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38 033 299,98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46 962 979,96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10 685 469,09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10 104 469,09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10 104 469,09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дворовых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20 055 436,80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16 952 620,00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4 573 910,00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458 042 734,23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21 080 679,98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42 389 069,96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458 042 734,23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21 080 679,98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42 389 069,96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926 202,94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457 116 531,29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21 080 679,98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42 389 069,96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185 989 215,54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19 924 255,49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20 626 008,49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757 125,00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371 100,00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581 425,00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185 232 090,54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185 232 090,54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185 232 090,54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1 448 971,01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1 348 934,36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100 036,65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183 783 119,53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11 036 182,52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5 367 418,00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167 379 519,01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2 808 360,00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2 915 230,00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288 285 989,31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462 844 765,43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470 361 808,55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95 773 178,00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1 025 478,00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94 747 700,00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361 434 868,43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366 774 651,55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150 449 832,61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126 561 268,43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131 901 051,55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234 873 600,00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42 062 978,70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15 812 978,70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15 812 978,70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"Поддержка социально ориентированных некоммерческих организаций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9 619 441,20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9 249 441,20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6 193 537,50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5 388 537,50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245 359 638,49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251 216 260,45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259 253 956,71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48 866 582,00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49 135 586,00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50 997 233,00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48 866 582,00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49 135 586,00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50 997 233,00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48 866 582,00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49 135 586,00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50 997 233,00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48 866 582,00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49 135 586,00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50 997 233,00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46 541 547,00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46 541 186,00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48 402 833,00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2 291 035,00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2 594 400,00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2 594 400,00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201 680 674,45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207 856 723,71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194 184 856,49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199 280 674,45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205 456 723,71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25 252 083,38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15 666 137,20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16 293 074,37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17 281 016,28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17 245 196,28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15 662 237,20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16 289 174,37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35 820,00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7 967 167,10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7 967 167,10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7 967 167,10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7 967 167,10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4 279 614,50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4 279 614,50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3 687 552,60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3 687 552,60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246 802 702,94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205 688 483,03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212 308 295,36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13 768 166,80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9 929 890,00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16 836 806,00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Судебная система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554 039,00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574 664,00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7 107 371,00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13 214 127,80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9 355 226,00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9 729 435,00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13 214 127,80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9 355 226,00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9 729 435,00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4 049 750,80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4 049 750,80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9 164 377,00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9 355 226,00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9 729 435,00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9 164 377,00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8 445 318,84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8 783 462,56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909 907,16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945 972,44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232 183 636,14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195 677 693,03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195 319 089,36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54 662 726,53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41 847 650,00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43 438 429,47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54 662 726,53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41 847 650,00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43 438 429,47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54 662 726,53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41 847 650,00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43 438 429,47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49 828 927,14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39 292 707,00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40 858 260,00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3 534 690,74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2 034 578,00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2 064 536,47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3 988,65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1 295 120,00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520 365,00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515 633,00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177 520 909,61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153 830 043,03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151 880 659,89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177 520 909,61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153 830 043,03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151 880 659,89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36 346 736,66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33 233 441,11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34 551 300,77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36 107 228,66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32 931 883,11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34 249 742,77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239 508,00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301 558,00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301 558,00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3 803 120,83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137 320 752,12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120 596 601,92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117 329 359,12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115 592 075,83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106 796 315,00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111 101 853,00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18 811 926,29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13 550 144,92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5 977 877,12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2 916 750,00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250 142,00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249 629,00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850 900,00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850 900,00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152 400,00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847 000,00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1 060 977 478,40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459 951 585,89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459 932 511,76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1 060 973 578,40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459 947 685,89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459 928 611,76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2 261 403,00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2 121 403,00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656 449 907,22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75 854 680,50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75 855 620,21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656 449 907,22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75 854 680,50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75 855 620,21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656 449 907,22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75 854 680,50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75 855 620,21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606 843 446,44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74 820 106,44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49 606 460,78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49 606 460,78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382 152 121,49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382 152 121,49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011P500000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138 867,22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382 013 254,27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382 013 254,27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382 013 254,27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364 234 012,09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363 512 078,33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20 110 146,69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17 737 590,30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18 439 510,22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19 913 946,69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17 541 390,30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18 243 310,22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785 721 600,75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325 036 910,10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232 475 102,87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779 057 490,21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232 403 331,42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231 649 702,08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545 212 562,43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231 726 910,42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226 038 484,00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225 284 854,66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175 897 062,47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165 738 333,00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172 348 679,00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55 768 340,95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60 245 151,00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52 881 175,66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2 118 017,36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2 118 017,36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2 118 017,36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2 118 017,36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2 118 017,36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6 364 847,42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6 656 310,54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92 625 778,68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851 600 801,79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680 050 452,66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676 160 130,24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444 569 016,72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410 039 569,60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424 320 417,55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444 523 656,72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409 969 469,60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424 250 317,55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37 560,00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403 962 171,78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265 990 883,06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251 839 712,69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346 919 348,99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215 313 244,84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199 257 842,84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346 919 348,99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215 313 244,84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199 257 842,84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346 919 348,99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215 313 244,84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199 257 842,84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10 208 573,76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8 837 190,26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9 125 910,14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8 709 966,00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7 402 262,00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7 696 821,00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1 409 462,76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1 371 907,26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1 374 517,14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89 145,00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88 893 940,05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88 893 940,05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25 484 958,20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29 607 823,33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31 517 125,79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15 855 527,15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15 575 354,43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16 499 444,58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170 610 239,83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160 767 876,82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141 590 362,33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35 341 110,00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35 341 110,00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57 042 822,79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50 677 638,22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52 581 869,85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57 042 822,79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50 677 638,22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52 581 869,85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57 042 822,79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50 677 638,22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52 581 869,85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47 023 435,00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44 907 103,45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46 811 335,08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46 205 617,60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43 368 927,92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45 273 159,55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817 817,40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1 679 740,00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1 679 740,00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8 339 647,79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8 339 647,79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"Современная школа"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3 069 613,29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4 539 034 816,35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1 188 454 445,71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818 505 928,75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14 690 926,17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1 294 936,75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2 322 503,03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4 463 825 110,18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1 181 549 273,11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815 875 625,72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4 352 060 043,49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1 122 154 905,69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713 849 134,35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4 291 672 486,11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1 122 154 905,69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713 849 134,35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"Дорожная сеть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031R100000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578 917 806,01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172 523 276,93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255 160 041,64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570 424 950,10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196 969 696,97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151 234 487,44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3 412 754 680,10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251 729 955,59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246 879 437,38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139 445 439,00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66 943 670,85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73 896 051,42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49 988 411,00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49 478 509,00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51 458 425,00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81 514 977,72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17 461 001,85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22 433 466,42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7 942 050,28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617 936 246,55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541 818 856,14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76 117 390,41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734 270 076,89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5 852 983,75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1 440 882 868,28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54 142 300,99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129 539 231,10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1 311 343 637,18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48 442 300,99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56 072 785,96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141 480 010,00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124 791 000,00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"Реализация инфраструктурных проектов за счет средств бюджетных кредитов из федерального бюджета"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332 220 111,38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103 363 223,00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228 856 888,38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60 387 557,38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111 765 066,69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59 394 367,42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102 026 491,37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104 098 722,72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55 281 858,72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96 506 491,37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4 449 319,80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4 112 508,70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5 520 000,00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3 217 024,17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5 302 435,85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518 780,00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518 780,00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1 633 248 731,05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879 145 322,90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614 906 001,66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415 822,36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1 615 871 847,89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879 042 522,90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614 803 201,66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867 446 139,60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332 227 057,62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803 376 428,11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803 376 428,11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391 583 944,75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241 583 944,75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16 727 057,62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31 468 990,47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314 000 000,00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9 705 947,00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248 342 664,74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117 615 957,89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64 069 711,49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56 069 711,49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560 338 901,27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383 249 926,45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496 464 779,93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383 249 926,45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496 464 779,93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383 249 926,45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383 454 326,45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383 249 926,45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382 849 926,45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382 849 926,45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413 707 430,13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113 010 453,48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63 874 121,34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188 086 807,02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163 565 538,83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169 626 781,06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188 086 807,02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163 565 538,83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169 626 781,06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188 086 807,02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163 565 538,83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169 626 781,06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188 086 807,02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163 565 538,83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169 626 781,06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174 424 559,37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149 445 560,77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155 404 541,59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13 440 276,78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13 899 565,78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14 003 385,78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221 970,87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220 412,28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218 853,69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16 909 940,80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1 784 814 997,65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641 574 435,06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600 545 139,35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6 726 971,52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6 726 971,52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3 422 104,00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3 422 104,00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3 422 104,00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3 428 630,00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3 420 104,00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3 426 630,00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3 426 630,00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3 304 867,52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3 304 867,52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3 304 867,52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1 778 027 526,13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638 141 905,06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597 112 609,35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1 778 027 526,13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638 141 905,06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597 112 609,35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1 778 016 180,78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638 130 105,75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597 100 337,55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1 778 016 180,78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638 130 105,75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597 100 337,55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34 184 897,76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30 231 312,26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31 371 342,20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33 757 580,48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29 795 669,81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30 981 739,72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357 317,28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435 642,45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389 602,48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175 970 665,33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14 942 606,00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161 028 059,33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635 054 428,77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622 991 507,77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12 062 921,00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866 924 285,77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812 249 448,77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54 674 837,00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53 881 903,15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 и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11 345,35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11 799,31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12 271,80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1 988 006 674,23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1 211 026 980,82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394 685 834,46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192 841,00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1 839 416 254,45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1 127 497 190,27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323 916 068,57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1 446 361 720,90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869 497 368,43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8 144 943,49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8 144 943,49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8 144 943,49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8 144 943,49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1 428 836 546,74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869 497 368,43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121F200000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153 948 255,00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1 030 826 060,65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858 947 368,43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866 615 534,33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489 090 688,70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806 315 789,48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377 524 845,63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52 631 578,95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111 578 947,37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244 062 231,09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89 325 154,05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89 325 154,05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154 737 077,04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154 737 077,04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1 045 722,00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9 380 230,67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9 380 230,67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7 880 230,67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393 054 533,55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257 999 821,84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322 870 346,57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393 054 533,55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257 999 821,84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322 870 346,57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"Строительство, реконструкция объектов благоустройства (в том числе проектно-изыскательские работы),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9 443 350,00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383 611 183,55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257 999 821,84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322 870 346,57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383 611 183,55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257 999 821,84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322 870 346,57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326 324 244,90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248 417 813,89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319 185 659,90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47 356 748,88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9 582 007,95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3 684 686,67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9 930 189,77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108 400,00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108 400,00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108 400,00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108 400,00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"Управление общественными пространствами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93 392 077,78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28 427 608,55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15 516 845,89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2 025 070,00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2 230 151,00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2 380 889,00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568 708 295,23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443 767 721,98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447 016 265,88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454 893 576,15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443 653 721,98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446 975 465,88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454 893 576,15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443 653 721,98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446 975 465,88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454 893 576,15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443 653 721,98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446 975 465,88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454 893 576,15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443 653 721,98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446 975 465,88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418 492 625,46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407 564 995,35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442 451 915,28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397 274 095,55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384 427 608,80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429 985 295,16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17 670 822,26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18 562 729,67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7 593 628,89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10 511,22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3 537 196,43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4 574 656,88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4 872 991,23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33 909 238,19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30 787 726,63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3 983 550,60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19 143 767,51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17 790 654,42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3 873 465,91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14 765 470,68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12 997 072,21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110 084,69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2 491 712,50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5 301 000,00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проведения работ по землеустройству и землепользованию, комплексных кадастровых работ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228 898,00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228 898,00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221 098,00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112 485 821,08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1 592 933 878,39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2 301 831 846,18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989 040 003,98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40 520 985,76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38 595 776,24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45 002 086,79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40 520 985,76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38 595 776,24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45 002 086,79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40 520 985,76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38 595 776,24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45 002 086,79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40 520 985,76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38 595 776,24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45 002 086,79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40 520 985,76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38 595 776,24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45 002 086,79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39 402 715,76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37 127 263,00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43 533 573,55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528 246,08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1 510,92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588 513,00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588 513,24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588 513,24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402 464 716,66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785 547 880,91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112 712 689,40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402 464 716,66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785 547 880,91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112 712 689,40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402 464 716,66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785 547 880,91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112 712 689,40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402 464 716,66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785 547 880,91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112 712 689,40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79 115 929,59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101 339 355,50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106 986 104,25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66 669 679,06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83 434 552,89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86 792 320,13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12 200 791,21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16 781 934,07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20 090 092,12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7 144,32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238 315,00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1 122 868,54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103 692,00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296 009 003,58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5 726 585,15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27 339 783,49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759 592 402,17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"Федеральный проект "Обеспечение устойчивого сокращения непригодного для проживания жилищного фонда"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061F300000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754 917 077,27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4 675 324,90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1 093 440,63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21 762 262,20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205 166 973,80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572 629 048,36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1 482 157,51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204 735 081,72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295 693 212,90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810 432,00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1 830 963,50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1 002 085,15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52 509 214,84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271 927 508,36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151 415 434,88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21 934 741,04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255 792,08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276 512 757,36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423 078,10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480 072,36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168 300,00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415 278,10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472 272,36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185 188 800,00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903 965 700,04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808 080 808,08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196 692 562,33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191 423 956,35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191 136 099,60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184 699 576,55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182 112 108,15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189 268 666,80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184 699 576,55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182 112 108,15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189 268 666,80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184 699 576,55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182 112 108,15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189 268 666,80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184 699 576,55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182 112 108,15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189 268 666,80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184 699 576,55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182 112 108,15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189 268 666,80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181 429 762,06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178 869 671,28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186 029 346,93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3 201 344,49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3 201 360,87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3 199 460,87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68 470,00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39 859,00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11 958 685,78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8 640 812,96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9 264 048,20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1 819 632,80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3 317 872,82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14 113 856 029,29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13 537 909 569,39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13 456 590 414,27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13 859 481 188,98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13 276 308 346,97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13 283 390 847,85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4 996 697 622,83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4 994 288 531,96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4 994 288 531,96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4 948 923 431,96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5 058 779 333,48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5 206 493 513,82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субсидий частным дошкольным образовательным организациям, индивидуальным предпринимателям"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45 365 100,00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2 409 090,87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7 615 210 647,52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7 272 968 136,03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7 103 556 254,51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7 602 962 026,95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7 272 968 136,03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7 103 556 254,51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"Патриотическое воспитание граждан РФ"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041EВ00000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38 158 105,48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22 996 853,08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23 693 318,43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"Модернизация школьных систем образования в Приморском крае"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0421Ж00000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162 548 419,83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202 085 237,47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7 402 255 501,64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7 047 886 045,48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7 079 862 936,08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7 111 835 279,00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7 110 815 279,00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6 673 416 648,43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6 697 305 670,70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289 420 222,64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289 420 222,64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374 469 397,05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382 557 265,38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11 194 089,76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1 054 530,81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646 742 132,52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646 742 132,52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646 742 132,52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644 442 132,52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529 041 600,56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542 887 139,17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297 060,00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289 260,00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дополнительного профессионального образования муниципальных служащих администрации, в том числе муниципальных служащих, в должност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ные обязанности которых входит участие в противодействии коррупции, 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569 533 726,11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415 465 976,90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430 400 640,35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569 533 726,11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415 465 976,90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430 400 640,35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569 533 726,11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415 465 976,90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430 400 640,35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447 814 049,47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368 507 126,03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381 703 126,30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391 685 610,57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341 203 309,19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354 170 768,65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54 567 795,79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26 755 950,66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26 984 491,47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4 777,32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1 555 865,79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547 866,18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547 866,18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59 700 894,79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46 958 850,87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48 697 514,05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62 018 781,85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62 018 781,85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254 374 840,31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261 601 222,42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173 199 566,42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"Современная школа"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041E100000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114 045 386,71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93 915 000,00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140 329 453,60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167 686 222,42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173 199 566,42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140 329 453,60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167 686 222,42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173 199 566,42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140 329 453,60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167 686 222,42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173 199 566,42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92 403 531,00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137 666 529,00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143 179 873,00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47 925 922,60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8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47 925 922,60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-4740</wp:posOffset>
                </wp:positionH>
                <wp:positionV relativeFrom="paragraph">
                  <wp:posOffset>217414</wp:posOffset>
                </wp:positionV>
                <wp:extent cx="9344025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1">
                          <a:off x="0" y="0"/>
                          <a:ext cx="93440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flip:y;visibility:visible;" from="-0.4pt,17.1pt" to="735.4pt,17.1pt" filled="f" strokecolor="#233B59" strokeweight="0.75pt">
                <v:stroke dashstyle="solid"/>
              </v:line>
            </w:pict>
          </mc:Fallback>
        </mc:AlternateContent>
      </w:r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417" w:right="1134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left"/>
      <w:spacing w:before="0" w:after="0" w:line="240" w:lineRule="auto"/>
      <w:rPr>
        <w:rFonts w:ascii="Times New Roman" w:hAnsi="Times New Roman" w:eastAsia="Times New Roman" w:cs="Times New Roman"/>
        <w:color w:val="000000"/>
        <w:sz w:val="20"/>
        <w:szCs w:val="20"/>
        <w:highlight w:val="none"/>
      </w:rPr>
    </w:pP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color w:val="000000"/>
        <w:sz w:val="20"/>
      </w:rPr>
      <w:instrText xml:space="preserve">PAGE</w:instrText>
    </w:r>
    <w:r>
      <w:rPr>
        <w:rFonts w:ascii="Times New Roman" w:hAnsi="Times New Roman" w:eastAsia="Times New Roman" w:cs="Times New Roman"/>
        <w:color w:val="000000"/>
        <w:sz w:val="20"/>
        <w:szCs w:val="20"/>
        <w:highlight w:val="none"/>
      </w:rPr>
    </w:r>
    <w:r>
      <w:rPr>
        <w:rFonts w:ascii="Times New Roman" w:hAnsi="Times New Roman" w:eastAsia="Times New Roman" w:cs="Times New Roman"/>
        <w:color w:val="000000"/>
        <w:sz w:val="20"/>
        <w:szCs w:val="20"/>
        <w:highlight w:val="none"/>
      </w:rPr>
    </w:r>
  </w:p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color w:val="000000"/>
        <w:sz w:val="20"/>
        <w:highlight w:val="none"/>
      </w:rPr>
    </w:r>
    <w:r>
      <w:rPr>
        <w:rFonts w:ascii="Times New Roman" w:hAnsi="Times New Roman" w:eastAsia="Times New Roman" w:cs="Times New Roman"/>
        <w:color w:val="000000"/>
        <w:sz w:val="20"/>
        <w:highlight w:val="none"/>
      </w:rPr>
    </w:r>
    <w:r>
      <w:rPr>
        <w:rFonts w:ascii="Times New Roman" w:hAnsi="Times New Roman" w:eastAsia="Times New Roman" w:cs="Times New Roman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center"/>
    </w:pPr>
    <w:fldSimple w:instr="PAGE \* MERGEFORMAT">
      <w:r>
        <w:t xml:space="preserve">1</w:t>
      </w:r>
    </w:fldSimple>
    <w:r/>
    <w:r/>
  </w:p>
  <w:p>
    <w:pPr>
      <w:pStyle w:val="71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uiPriority w:val="34"/>
    <w:qFormat/>
    <w:pPr>
      <w:contextualSpacing/>
      <w:ind w:left="720"/>
    </w:pPr>
  </w:style>
  <w:style w:type="paragraph" w:styleId="706">
    <w:name w:val="No Spacing"/>
    <w:uiPriority w:val="1"/>
    <w:qFormat/>
    <w:pPr>
      <w:spacing w:before="0" w:after="0" w:line="240" w:lineRule="auto"/>
    </w:pPr>
  </w:style>
  <w:style w:type="paragraph" w:styleId="707">
    <w:name w:val="Title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link w:val="707"/>
    <w:uiPriority w:val="10"/>
    <w:rPr>
      <w:sz w:val="48"/>
      <w:szCs w:val="48"/>
    </w:rPr>
  </w:style>
  <w:style w:type="paragraph" w:styleId="709">
    <w:name w:val="Subtitle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link w:val="709"/>
    <w:uiPriority w:val="11"/>
    <w:rPr>
      <w:sz w:val="24"/>
      <w:szCs w:val="24"/>
    </w:rPr>
  </w:style>
  <w:style w:type="paragraph" w:styleId="711">
    <w:name w:val="Quote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paragraph" w:styleId="715">
    <w:name w:val="Header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Header Char"/>
    <w:link w:val="715"/>
    <w:uiPriority w:val="99"/>
  </w:style>
  <w:style w:type="paragraph" w:styleId="717">
    <w:name w:val="Footer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Footer Char"/>
    <w:link w:val="717"/>
    <w:uiPriority w:val="99"/>
  </w:style>
  <w:style w:type="paragraph" w:styleId="719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717"/>
    <w:uiPriority w:val="99"/>
  </w:style>
  <w:style w:type="table" w:styleId="72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uiPriority w:val="39"/>
    <w:unhideWhenUsed/>
    <w:pPr>
      <w:ind w:left="0" w:right="0" w:firstLine="0"/>
      <w:spacing w:after="57"/>
    </w:pPr>
  </w:style>
  <w:style w:type="paragraph" w:styleId="855">
    <w:name w:val="toc 2"/>
    <w:uiPriority w:val="39"/>
    <w:unhideWhenUsed/>
    <w:pPr>
      <w:ind w:left="283" w:right="0" w:firstLine="0"/>
      <w:spacing w:after="57"/>
    </w:pPr>
  </w:style>
  <w:style w:type="paragraph" w:styleId="856">
    <w:name w:val="toc 3"/>
    <w:uiPriority w:val="39"/>
    <w:unhideWhenUsed/>
    <w:pPr>
      <w:ind w:left="567" w:right="0" w:firstLine="0"/>
      <w:spacing w:after="57"/>
    </w:pPr>
  </w:style>
  <w:style w:type="paragraph" w:styleId="857">
    <w:name w:val="toc 4"/>
    <w:uiPriority w:val="39"/>
    <w:unhideWhenUsed/>
    <w:pPr>
      <w:ind w:left="850" w:right="0" w:firstLine="0"/>
      <w:spacing w:after="57"/>
    </w:pPr>
  </w:style>
  <w:style w:type="paragraph" w:styleId="858">
    <w:name w:val="toc 5"/>
    <w:uiPriority w:val="39"/>
    <w:unhideWhenUsed/>
    <w:pPr>
      <w:ind w:left="1134" w:right="0" w:firstLine="0"/>
      <w:spacing w:after="57"/>
    </w:pPr>
  </w:style>
  <w:style w:type="paragraph" w:styleId="859">
    <w:name w:val="toc 6"/>
    <w:uiPriority w:val="39"/>
    <w:unhideWhenUsed/>
    <w:pPr>
      <w:ind w:left="1417" w:right="0" w:firstLine="0"/>
      <w:spacing w:after="57"/>
    </w:pPr>
  </w:style>
  <w:style w:type="paragraph" w:styleId="860">
    <w:name w:val="toc 7"/>
    <w:uiPriority w:val="39"/>
    <w:unhideWhenUsed/>
    <w:pPr>
      <w:ind w:left="1701" w:right="0" w:firstLine="0"/>
      <w:spacing w:after="57"/>
    </w:pPr>
  </w:style>
  <w:style w:type="paragraph" w:styleId="861">
    <w:name w:val="toc 8"/>
    <w:uiPriority w:val="39"/>
    <w:unhideWhenUsed/>
    <w:pPr>
      <w:ind w:left="1984" w:right="0" w:firstLine="0"/>
      <w:spacing w:after="57"/>
    </w:pPr>
  </w:style>
  <w:style w:type="paragraph" w:styleId="862">
    <w:name w:val="toc 9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uiPriority w:val="99"/>
    <w:unhideWhenUsed/>
    <w:pPr>
      <w:spacing w:after="0" w:afterAutospacing="0"/>
    </w:pPr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paragraph" w:styleId="867" w:default="1">
    <w:name w:val="Normal"/>
    <w:qFormat/>
  </w:style>
  <w:style w:type="table" w:styleId="8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2</cp:revision>
  <dcterms:modified xsi:type="dcterms:W3CDTF">2024-11-20T23:24:08Z</dcterms:modified>
</cp:coreProperties>
</file>